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4D34" w14:textId="194BC976" w:rsidR="00ED3C75" w:rsidRDefault="00ED3C75">
      <w:pPr>
        <w:rPr>
          <w:rFonts w:cstheme="minorHAnsi"/>
        </w:rPr>
      </w:pPr>
      <w:r>
        <w:rPr>
          <w:noProof/>
        </w:rPr>
        <w:drawing>
          <wp:inline distT="0" distB="0" distL="0" distR="0" wp14:anchorId="3CAF2A68" wp14:editId="10DC46FB">
            <wp:extent cx="962025" cy="273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46" cy="28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25862" w14:textId="042C101A" w:rsidR="00A9249A" w:rsidRDefault="00A9249A">
      <w:pPr>
        <w:rPr>
          <w:rFonts w:cstheme="minorHAnsi"/>
        </w:rPr>
      </w:pPr>
      <w:r>
        <w:rPr>
          <w:rFonts w:cstheme="minorHAnsi"/>
        </w:rPr>
        <w:t xml:space="preserve">Exhibit </w:t>
      </w:r>
      <w:proofErr w:type="gramStart"/>
      <w:r>
        <w:rPr>
          <w:rFonts w:cstheme="minorHAnsi"/>
        </w:rPr>
        <w:t>A</w:t>
      </w:r>
      <w:r w:rsidR="00832660">
        <w:rPr>
          <w:rFonts w:cstheme="minorHAnsi"/>
        </w:rPr>
        <w:t xml:space="preserve">  -</w:t>
      </w:r>
      <w:proofErr w:type="gramEnd"/>
      <w:r w:rsidR="00832660">
        <w:rPr>
          <w:rFonts w:cstheme="minorHAnsi"/>
        </w:rPr>
        <w:t xml:space="preserve"> </w:t>
      </w:r>
      <w:r w:rsidR="00ED3C75">
        <w:rPr>
          <w:rFonts w:cstheme="minorHAnsi"/>
        </w:rPr>
        <w:t xml:space="preserve">PCQC </w:t>
      </w:r>
      <w:r w:rsidR="0031025C">
        <w:rPr>
          <w:rFonts w:cstheme="minorHAnsi"/>
        </w:rPr>
        <w:t>Membership Dues</w:t>
      </w:r>
      <w:r w:rsidR="0031025C">
        <w:rPr>
          <w:rFonts w:cstheme="minorHAnsi"/>
        </w:rPr>
        <w:br/>
      </w:r>
      <w:r w:rsidR="00247981">
        <w:rPr>
          <w:rFonts w:cstheme="minorHAnsi"/>
        </w:rPr>
        <w:t>Participation</w:t>
      </w:r>
      <w:r>
        <w:rPr>
          <w:rFonts w:cstheme="minorHAnsi"/>
        </w:rPr>
        <w:t xml:space="preserve"> in the PCQC Registry requires payment of applicable </w:t>
      </w:r>
      <w:r w:rsidR="0031025C">
        <w:rPr>
          <w:rFonts w:cstheme="minorHAnsi"/>
        </w:rPr>
        <w:t>membership dues</w:t>
      </w:r>
      <w:r>
        <w:rPr>
          <w:rFonts w:cstheme="minorHAnsi"/>
        </w:rPr>
        <w:t>, which will be invoiced annually.</w:t>
      </w:r>
    </w:p>
    <w:p w14:paraId="5ADA59B3" w14:textId="39927FF5" w:rsidR="0031025C" w:rsidRDefault="00E75317">
      <w:pPr>
        <w:rPr>
          <w:rFonts w:cstheme="minorHAnsi"/>
        </w:rPr>
      </w:pPr>
      <w:r>
        <w:rPr>
          <w:rFonts w:cstheme="minorHAnsi"/>
        </w:rPr>
        <w:t>The participant: _______________________________</w:t>
      </w:r>
      <w:bookmarkStart w:id="0" w:name="_GoBack"/>
      <w:bookmarkEnd w:id="0"/>
    </w:p>
    <w:p w14:paraId="09BB8188" w14:textId="1D6E28EA" w:rsidR="001708B8" w:rsidRPr="00483140" w:rsidRDefault="001708B8" w:rsidP="00483140">
      <w:pPr>
        <w:rPr>
          <w:rFonts w:cstheme="minorHAnsi"/>
        </w:rPr>
      </w:pPr>
      <w:r w:rsidRPr="001708B8">
        <w:rPr>
          <w:rStyle w:val="Strong"/>
          <w:rFonts w:cstheme="minorHAnsi"/>
          <w:color w:val="303336"/>
          <w:shd w:val="clear" w:color="auto" w:fill="FFFFFF"/>
        </w:rPr>
        <w:t>Payments</w:t>
      </w:r>
    </w:p>
    <w:p w14:paraId="73E1E240" w14:textId="41F57E3D" w:rsidR="00AF62B0" w:rsidRDefault="00483140" w:rsidP="001708B8">
      <w:pPr>
        <w:autoSpaceDE w:val="0"/>
        <w:autoSpaceDN w:val="0"/>
        <w:adjustRightInd w:val="0"/>
        <w:spacing w:after="0" w:line="240" w:lineRule="auto"/>
        <w:rPr>
          <w:rFonts w:cstheme="minorHAnsi"/>
          <w:color w:val="303336"/>
          <w:shd w:val="clear" w:color="auto" w:fill="FFFFFF"/>
        </w:rPr>
      </w:pPr>
      <w:r>
        <w:rPr>
          <w:rFonts w:cstheme="minorHAnsi"/>
          <w:color w:val="303336"/>
          <w:shd w:val="clear" w:color="auto" w:fill="FFFFFF"/>
        </w:rPr>
        <w:t>The Participant agree to pay PCQC for annu</w:t>
      </w:r>
      <w:r w:rsidR="00832660">
        <w:rPr>
          <w:rFonts w:cstheme="minorHAnsi"/>
          <w:color w:val="303336"/>
          <w:shd w:val="clear" w:color="auto" w:fill="FFFFFF"/>
        </w:rPr>
        <w:t xml:space="preserve">al </w:t>
      </w:r>
      <w:r w:rsidR="007A0064">
        <w:rPr>
          <w:rFonts w:cstheme="minorHAnsi"/>
          <w:color w:val="303336"/>
          <w:shd w:val="clear" w:color="auto" w:fill="FFFFFF"/>
        </w:rPr>
        <w:t>membership</w:t>
      </w:r>
      <w:r>
        <w:rPr>
          <w:rFonts w:cstheme="minorHAnsi"/>
          <w:color w:val="303336"/>
          <w:shd w:val="clear" w:color="auto" w:fill="FFFFFF"/>
        </w:rPr>
        <w:t xml:space="preserve"> </w:t>
      </w:r>
      <w:r w:rsidR="00832660">
        <w:rPr>
          <w:rFonts w:cstheme="minorHAnsi"/>
          <w:color w:val="303336"/>
          <w:shd w:val="clear" w:color="auto" w:fill="FFFFFF"/>
        </w:rPr>
        <w:t xml:space="preserve">in PCQC </w:t>
      </w:r>
      <w:r>
        <w:rPr>
          <w:rFonts w:cstheme="minorHAnsi"/>
          <w:color w:val="303336"/>
          <w:shd w:val="clear" w:color="auto" w:fill="FFFFFF"/>
        </w:rPr>
        <w:t xml:space="preserve">the sum </w:t>
      </w:r>
      <w:proofErr w:type="gramStart"/>
      <w:r>
        <w:rPr>
          <w:rFonts w:cstheme="minorHAnsi"/>
          <w:color w:val="303336"/>
          <w:shd w:val="clear" w:color="auto" w:fill="FFFFFF"/>
        </w:rPr>
        <w:t>of</w:t>
      </w:r>
      <w:r w:rsidR="0031025C">
        <w:rPr>
          <w:rFonts w:cstheme="minorHAnsi"/>
          <w:color w:val="303336"/>
          <w:shd w:val="clear" w:color="auto" w:fill="FFFFFF"/>
        </w:rPr>
        <w:t xml:space="preserve"> </w:t>
      </w:r>
      <w:r>
        <w:rPr>
          <w:rFonts w:cstheme="minorHAnsi"/>
          <w:color w:val="303336"/>
          <w:shd w:val="clear" w:color="auto" w:fill="FFFFFF"/>
        </w:rPr>
        <w:t xml:space="preserve"> </w:t>
      </w:r>
      <w:r w:rsidR="00FD489E">
        <w:rPr>
          <w:rFonts w:cstheme="minorHAnsi"/>
          <w:color w:val="303336"/>
          <w:shd w:val="clear" w:color="auto" w:fill="FFFFFF"/>
        </w:rPr>
        <w:t>$</w:t>
      </w:r>
      <w:proofErr w:type="gramEnd"/>
      <w:r w:rsidR="00FD489E">
        <w:rPr>
          <w:rFonts w:cstheme="minorHAnsi"/>
          <w:color w:val="303336"/>
          <w:shd w:val="clear" w:color="auto" w:fill="FFFFFF"/>
        </w:rPr>
        <w:t>3</w:t>
      </w:r>
      <w:r w:rsidR="007120EB">
        <w:rPr>
          <w:rFonts w:cstheme="minorHAnsi"/>
          <w:color w:val="303336"/>
          <w:shd w:val="clear" w:color="auto" w:fill="FFFFFF"/>
        </w:rPr>
        <w:t>500</w:t>
      </w:r>
      <w:r w:rsidR="00AF62B0">
        <w:rPr>
          <w:rFonts w:cstheme="minorHAnsi"/>
          <w:color w:val="303336"/>
          <w:shd w:val="clear" w:color="auto" w:fill="FFFFFF"/>
        </w:rPr>
        <w:t xml:space="preserve"> from </w:t>
      </w:r>
      <w:r w:rsidR="007120EB">
        <w:rPr>
          <w:rFonts w:cstheme="minorHAnsi"/>
          <w:color w:val="303336"/>
          <w:shd w:val="clear" w:color="auto" w:fill="FFFFFF"/>
        </w:rPr>
        <w:t>October 1</w:t>
      </w:r>
      <w:r w:rsidR="007120EB" w:rsidRPr="007120EB">
        <w:rPr>
          <w:rFonts w:cstheme="minorHAnsi"/>
          <w:color w:val="303336"/>
          <w:shd w:val="clear" w:color="auto" w:fill="FFFFFF"/>
          <w:vertAlign w:val="superscript"/>
        </w:rPr>
        <w:t>st</w:t>
      </w:r>
      <w:r w:rsidR="007120EB">
        <w:rPr>
          <w:rFonts w:cstheme="minorHAnsi"/>
          <w:color w:val="303336"/>
          <w:shd w:val="clear" w:color="auto" w:fill="FFFFFF"/>
        </w:rPr>
        <w:t>, 2020</w:t>
      </w:r>
      <w:r w:rsidR="00AF62B0">
        <w:rPr>
          <w:rFonts w:cstheme="minorHAnsi"/>
          <w:color w:val="303336"/>
          <w:shd w:val="clear" w:color="auto" w:fill="FFFFFF"/>
        </w:rPr>
        <w:t xml:space="preserve"> until an end date of</w:t>
      </w:r>
      <w:r w:rsidR="007120EB">
        <w:rPr>
          <w:rFonts w:cstheme="minorHAnsi"/>
          <w:color w:val="303336"/>
          <w:shd w:val="clear" w:color="auto" w:fill="FFFFFF"/>
        </w:rPr>
        <w:t xml:space="preserve"> September 30</w:t>
      </w:r>
      <w:r w:rsidR="007120EB" w:rsidRPr="007120EB">
        <w:rPr>
          <w:rFonts w:cstheme="minorHAnsi"/>
          <w:color w:val="303336"/>
          <w:shd w:val="clear" w:color="auto" w:fill="FFFFFF"/>
          <w:vertAlign w:val="superscript"/>
        </w:rPr>
        <w:t>th</w:t>
      </w:r>
      <w:r w:rsidR="007120EB">
        <w:rPr>
          <w:rFonts w:cstheme="minorHAnsi"/>
          <w:color w:val="303336"/>
          <w:shd w:val="clear" w:color="auto" w:fill="FFFFFF"/>
        </w:rPr>
        <w:t>, 2021</w:t>
      </w:r>
      <w:r w:rsidR="00AF62B0">
        <w:rPr>
          <w:rFonts w:cstheme="minorHAnsi"/>
          <w:color w:val="303336"/>
          <w:shd w:val="clear" w:color="auto" w:fill="FFFFFF"/>
        </w:rPr>
        <w:t>.</w:t>
      </w:r>
    </w:p>
    <w:p w14:paraId="0D72E844" w14:textId="0C452151" w:rsidR="007120EB" w:rsidRDefault="007120EB" w:rsidP="001708B8">
      <w:pPr>
        <w:autoSpaceDE w:val="0"/>
        <w:autoSpaceDN w:val="0"/>
        <w:adjustRightInd w:val="0"/>
        <w:spacing w:after="0" w:line="240" w:lineRule="auto"/>
        <w:rPr>
          <w:rFonts w:cstheme="minorHAnsi"/>
          <w:color w:val="303336"/>
          <w:shd w:val="clear" w:color="auto" w:fill="FFFFFF"/>
        </w:rPr>
      </w:pPr>
    </w:p>
    <w:p w14:paraId="703238D8" w14:textId="3CC6A53A" w:rsidR="007120EB" w:rsidRDefault="007120EB" w:rsidP="007120EB">
      <w:pPr>
        <w:autoSpaceDE w:val="0"/>
        <w:autoSpaceDN w:val="0"/>
        <w:adjustRightInd w:val="0"/>
        <w:spacing w:after="0" w:line="240" w:lineRule="auto"/>
        <w:rPr>
          <w:rFonts w:cstheme="minorHAnsi"/>
          <w:color w:val="303336"/>
          <w:shd w:val="clear" w:color="auto" w:fill="FFFFFF"/>
        </w:rPr>
      </w:pPr>
      <w:r>
        <w:rPr>
          <w:rFonts w:cstheme="minorHAnsi"/>
          <w:color w:val="303336"/>
          <w:shd w:val="clear" w:color="auto" w:fill="FFFFFF"/>
        </w:rPr>
        <w:t xml:space="preserve">The Participant agree to pay PCQC for annual membership in PCQC the sum </w:t>
      </w:r>
      <w:proofErr w:type="gramStart"/>
      <w:r>
        <w:rPr>
          <w:rFonts w:cstheme="minorHAnsi"/>
          <w:color w:val="303336"/>
          <w:shd w:val="clear" w:color="auto" w:fill="FFFFFF"/>
        </w:rPr>
        <w:t>of  $</w:t>
      </w:r>
      <w:proofErr w:type="gramEnd"/>
      <w:r w:rsidR="00FD489E">
        <w:rPr>
          <w:rFonts w:cstheme="minorHAnsi"/>
          <w:color w:val="303336"/>
          <w:shd w:val="clear" w:color="auto" w:fill="FFFFFF"/>
        </w:rPr>
        <w:t>3</w:t>
      </w:r>
      <w:r>
        <w:rPr>
          <w:rFonts w:cstheme="minorHAnsi"/>
          <w:color w:val="303336"/>
          <w:shd w:val="clear" w:color="auto" w:fill="FFFFFF"/>
        </w:rPr>
        <w:t>500 from October 1</w:t>
      </w:r>
      <w:r w:rsidRPr="007120EB">
        <w:rPr>
          <w:rFonts w:cstheme="minorHAnsi"/>
          <w:color w:val="303336"/>
          <w:shd w:val="clear" w:color="auto" w:fill="FFFFFF"/>
          <w:vertAlign w:val="superscript"/>
        </w:rPr>
        <w:t>st</w:t>
      </w:r>
      <w:r>
        <w:rPr>
          <w:rFonts w:cstheme="minorHAnsi"/>
          <w:color w:val="303336"/>
          <w:shd w:val="clear" w:color="auto" w:fill="FFFFFF"/>
        </w:rPr>
        <w:t>, 2021 until an end date of September 30</w:t>
      </w:r>
      <w:r w:rsidRPr="007120EB">
        <w:rPr>
          <w:rFonts w:cstheme="minorHAnsi"/>
          <w:color w:val="303336"/>
          <w:shd w:val="clear" w:color="auto" w:fill="FFFFFF"/>
          <w:vertAlign w:val="superscript"/>
        </w:rPr>
        <w:t>th</w:t>
      </w:r>
      <w:r>
        <w:rPr>
          <w:rFonts w:cstheme="minorHAnsi"/>
          <w:color w:val="303336"/>
          <w:shd w:val="clear" w:color="auto" w:fill="FFFFFF"/>
        </w:rPr>
        <w:t>, 2022.</w:t>
      </w:r>
    </w:p>
    <w:p w14:paraId="531BE522" w14:textId="77777777" w:rsidR="007120EB" w:rsidRDefault="007120EB" w:rsidP="001708B8">
      <w:pPr>
        <w:autoSpaceDE w:val="0"/>
        <w:autoSpaceDN w:val="0"/>
        <w:adjustRightInd w:val="0"/>
        <w:spacing w:after="0" w:line="240" w:lineRule="auto"/>
        <w:rPr>
          <w:rFonts w:cstheme="minorHAnsi"/>
          <w:color w:val="303336"/>
          <w:shd w:val="clear" w:color="auto" w:fill="FFFFFF"/>
        </w:rPr>
      </w:pPr>
    </w:p>
    <w:p w14:paraId="239FC6C3" w14:textId="77777777" w:rsidR="00832660" w:rsidRDefault="00832660" w:rsidP="001708B8">
      <w:pPr>
        <w:autoSpaceDE w:val="0"/>
        <w:autoSpaceDN w:val="0"/>
        <w:adjustRightInd w:val="0"/>
        <w:spacing w:after="0" w:line="240" w:lineRule="auto"/>
        <w:rPr>
          <w:rFonts w:cstheme="minorHAnsi"/>
          <w:color w:val="303336"/>
          <w:shd w:val="clear" w:color="auto" w:fill="FFFFFF"/>
        </w:rPr>
      </w:pPr>
    </w:p>
    <w:p w14:paraId="19FAA279" w14:textId="555A4DD2" w:rsidR="00AF62B0" w:rsidRPr="00832660" w:rsidRDefault="007A0064" w:rsidP="008326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Dues</w:t>
      </w:r>
      <w:r w:rsidR="00AF62B0" w:rsidRPr="00832660">
        <w:rPr>
          <w:rFonts w:cstheme="minorHAnsi"/>
        </w:rPr>
        <w:t xml:space="preserve"> are based on periods that begin on the membership date start, as indicated above</w:t>
      </w:r>
      <w:r w:rsidR="00832660" w:rsidRPr="00832660">
        <w:rPr>
          <w:rFonts w:cstheme="minorHAnsi"/>
        </w:rPr>
        <w:t>.</w:t>
      </w:r>
    </w:p>
    <w:p w14:paraId="28569EE5" w14:textId="66CEBF1F" w:rsidR="00AF62B0" w:rsidRPr="00832660" w:rsidRDefault="007A0064" w:rsidP="008326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03336"/>
          <w:shd w:val="clear" w:color="auto" w:fill="FFFFFF"/>
        </w:rPr>
      </w:pPr>
      <w:r>
        <w:rPr>
          <w:rFonts w:cstheme="minorHAnsi"/>
          <w:color w:val="303336"/>
          <w:shd w:val="clear" w:color="auto" w:fill="FFFFFF"/>
        </w:rPr>
        <w:t xml:space="preserve">Dues </w:t>
      </w:r>
      <w:r w:rsidR="00483140" w:rsidRPr="00832660">
        <w:rPr>
          <w:rFonts w:cstheme="minorHAnsi"/>
          <w:color w:val="303336"/>
          <w:shd w:val="clear" w:color="auto" w:fill="FFFFFF"/>
        </w:rPr>
        <w:t>will automatically renew with a new invoice being generate</w:t>
      </w:r>
      <w:r w:rsidR="007F6528">
        <w:rPr>
          <w:rFonts w:cstheme="minorHAnsi"/>
          <w:color w:val="303336"/>
          <w:shd w:val="clear" w:color="auto" w:fill="FFFFFF"/>
        </w:rPr>
        <w:t>d.</w:t>
      </w:r>
    </w:p>
    <w:p w14:paraId="26CCC7E7" w14:textId="5ECABE5A" w:rsidR="00AF62B0" w:rsidRPr="00832660" w:rsidRDefault="00AF62B0" w:rsidP="008326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03336"/>
          <w:shd w:val="clear" w:color="auto" w:fill="FFFFFF"/>
        </w:rPr>
      </w:pPr>
      <w:r w:rsidRPr="00832660">
        <w:rPr>
          <w:rFonts w:cstheme="minorHAnsi"/>
          <w:color w:val="303336"/>
          <w:shd w:val="clear" w:color="auto" w:fill="FFFFFF"/>
        </w:rPr>
        <w:t xml:space="preserve">PCQC will provide 90 days </w:t>
      </w:r>
      <w:r w:rsidR="0031025C">
        <w:rPr>
          <w:rFonts w:cstheme="minorHAnsi"/>
          <w:color w:val="303336"/>
          <w:shd w:val="clear" w:color="auto" w:fill="FFFFFF"/>
        </w:rPr>
        <w:t xml:space="preserve">of </w:t>
      </w:r>
      <w:r w:rsidR="009C1BFE">
        <w:rPr>
          <w:rFonts w:cstheme="minorHAnsi"/>
          <w:color w:val="303336"/>
          <w:shd w:val="clear" w:color="auto" w:fill="FFFFFF"/>
        </w:rPr>
        <w:t xml:space="preserve">written </w:t>
      </w:r>
      <w:r w:rsidRPr="00832660">
        <w:rPr>
          <w:rFonts w:cstheme="minorHAnsi"/>
          <w:color w:val="303336"/>
          <w:shd w:val="clear" w:color="auto" w:fill="FFFFFF"/>
        </w:rPr>
        <w:t>notice of a change of member</w:t>
      </w:r>
      <w:r w:rsidR="0031025C">
        <w:rPr>
          <w:rFonts w:cstheme="minorHAnsi"/>
          <w:color w:val="303336"/>
          <w:shd w:val="clear" w:color="auto" w:fill="FFFFFF"/>
        </w:rPr>
        <w:t>ship</w:t>
      </w:r>
      <w:r w:rsidRPr="00832660">
        <w:rPr>
          <w:rFonts w:cstheme="minorHAnsi"/>
          <w:color w:val="303336"/>
          <w:shd w:val="clear" w:color="auto" w:fill="FFFFFF"/>
        </w:rPr>
        <w:t xml:space="preserve"> fee.</w:t>
      </w:r>
    </w:p>
    <w:p w14:paraId="5A5BB026" w14:textId="3210EBE6" w:rsidR="00483140" w:rsidRPr="00832660" w:rsidRDefault="007A0064" w:rsidP="008326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03336"/>
          <w:shd w:val="clear" w:color="auto" w:fill="FFFFFF"/>
        </w:rPr>
      </w:pPr>
      <w:r>
        <w:rPr>
          <w:rFonts w:cstheme="minorHAnsi"/>
        </w:rPr>
        <w:t xml:space="preserve">Dues </w:t>
      </w:r>
      <w:r w:rsidR="00483140" w:rsidRPr="00832660">
        <w:rPr>
          <w:rFonts w:cstheme="minorHAnsi"/>
        </w:rPr>
        <w:t>are payable in United States dollars</w:t>
      </w:r>
      <w:r w:rsidR="00832660" w:rsidRPr="00832660">
        <w:rPr>
          <w:rFonts w:cstheme="minorHAnsi"/>
        </w:rPr>
        <w:t>.</w:t>
      </w:r>
    </w:p>
    <w:p w14:paraId="334A4C24" w14:textId="4E36B38A" w:rsidR="00483140" w:rsidRPr="00832660" w:rsidRDefault="007A0064" w:rsidP="008326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03336"/>
          <w:shd w:val="clear" w:color="auto" w:fill="FFFFFF"/>
        </w:rPr>
      </w:pPr>
      <w:r>
        <w:rPr>
          <w:rFonts w:cstheme="minorHAnsi"/>
          <w:color w:val="303336"/>
          <w:shd w:val="clear" w:color="auto" w:fill="FFFFFF"/>
        </w:rPr>
        <w:t>Dues</w:t>
      </w:r>
      <w:r w:rsidR="00483140" w:rsidRPr="00832660">
        <w:rPr>
          <w:rFonts w:cstheme="minorHAnsi"/>
          <w:color w:val="303336"/>
          <w:shd w:val="clear" w:color="auto" w:fill="FFFFFF"/>
        </w:rPr>
        <w:t xml:space="preserve"> are non-refundable and will not be pro-rated.</w:t>
      </w:r>
    </w:p>
    <w:p w14:paraId="49D0C50E" w14:textId="69248C2A" w:rsidR="00483140" w:rsidRDefault="00483140" w:rsidP="001708B8">
      <w:pPr>
        <w:autoSpaceDE w:val="0"/>
        <w:autoSpaceDN w:val="0"/>
        <w:adjustRightInd w:val="0"/>
        <w:spacing w:after="0" w:line="240" w:lineRule="auto"/>
        <w:rPr>
          <w:rFonts w:cstheme="minorHAnsi"/>
          <w:color w:val="303336"/>
          <w:shd w:val="clear" w:color="auto" w:fill="FFFFFF"/>
        </w:rPr>
      </w:pPr>
    </w:p>
    <w:p w14:paraId="6B687C86" w14:textId="4AE7FC95" w:rsidR="001708B8" w:rsidRPr="001708B8" w:rsidRDefault="001708B8" w:rsidP="001708B8">
      <w:pPr>
        <w:autoSpaceDE w:val="0"/>
        <w:autoSpaceDN w:val="0"/>
        <w:adjustRightInd w:val="0"/>
        <w:spacing w:after="0" w:line="240" w:lineRule="auto"/>
        <w:rPr>
          <w:rFonts w:cstheme="minorHAnsi"/>
          <w:color w:val="303336"/>
          <w:shd w:val="clear" w:color="auto" w:fill="FFFFFF"/>
        </w:rPr>
      </w:pPr>
      <w:r>
        <w:rPr>
          <w:rFonts w:cstheme="minorHAnsi"/>
          <w:color w:val="303336"/>
          <w:shd w:val="clear" w:color="auto" w:fill="FFFFFF"/>
        </w:rPr>
        <w:t xml:space="preserve">PCQC </w:t>
      </w:r>
      <w:r w:rsidRPr="001708B8">
        <w:rPr>
          <w:rFonts w:cstheme="minorHAnsi"/>
          <w:color w:val="303336"/>
          <w:shd w:val="clear" w:color="auto" w:fill="FFFFFF"/>
        </w:rPr>
        <w:t>will provide an invoice to</w:t>
      </w:r>
      <w:r>
        <w:rPr>
          <w:rFonts w:cstheme="minorHAnsi"/>
          <w:color w:val="303336"/>
          <w:shd w:val="clear" w:color="auto" w:fill="FFFFFF"/>
        </w:rPr>
        <w:t xml:space="preserve"> the Participant</w:t>
      </w:r>
      <w:r w:rsidRPr="001708B8">
        <w:rPr>
          <w:rFonts w:cstheme="minorHAnsi"/>
          <w:color w:val="303336"/>
          <w:shd w:val="clear" w:color="auto" w:fill="FFFFFF"/>
        </w:rPr>
        <w:t xml:space="preserve"> </w:t>
      </w:r>
      <w:r>
        <w:rPr>
          <w:rFonts w:cstheme="minorHAnsi"/>
          <w:color w:val="303336"/>
          <w:shd w:val="clear" w:color="auto" w:fill="FFFFFF"/>
        </w:rPr>
        <w:t xml:space="preserve">within 30 days of the </w:t>
      </w:r>
      <w:r w:rsidR="009C1BFE">
        <w:rPr>
          <w:rFonts w:cstheme="minorHAnsi"/>
          <w:color w:val="303336"/>
          <w:shd w:val="clear" w:color="auto" w:fill="FFFFFF"/>
        </w:rPr>
        <w:t>E</w:t>
      </w:r>
      <w:r w:rsidR="00AF62B0">
        <w:rPr>
          <w:rFonts w:cstheme="minorHAnsi"/>
          <w:color w:val="303336"/>
          <w:shd w:val="clear" w:color="auto" w:fill="FFFFFF"/>
        </w:rPr>
        <w:t xml:space="preserve">ffective </w:t>
      </w:r>
      <w:r w:rsidR="009C1BFE">
        <w:rPr>
          <w:rFonts w:cstheme="minorHAnsi"/>
          <w:color w:val="303336"/>
          <w:shd w:val="clear" w:color="auto" w:fill="FFFFFF"/>
        </w:rPr>
        <w:t>D</w:t>
      </w:r>
      <w:r w:rsidR="00AF62B0">
        <w:rPr>
          <w:rFonts w:cstheme="minorHAnsi"/>
          <w:color w:val="303336"/>
          <w:shd w:val="clear" w:color="auto" w:fill="FFFFFF"/>
        </w:rPr>
        <w:t>ate</w:t>
      </w:r>
      <w:r w:rsidR="009C1BFE">
        <w:rPr>
          <w:rFonts w:cstheme="minorHAnsi"/>
          <w:color w:val="303336"/>
          <w:shd w:val="clear" w:color="auto" w:fill="FFFFFF"/>
        </w:rPr>
        <w:t xml:space="preserve"> of the Participation Agreement between the parties</w:t>
      </w:r>
      <w:r w:rsidR="00AF62B0">
        <w:rPr>
          <w:rFonts w:cstheme="minorHAnsi"/>
          <w:color w:val="303336"/>
          <w:shd w:val="clear" w:color="auto" w:fill="FFFFFF"/>
        </w:rPr>
        <w:t xml:space="preserve">.  </w:t>
      </w:r>
      <w:r w:rsidRPr="001708B8">
        <w:rPr>
          <w:rFonts w:cstheme="minorHAnsi"/>
          <w:color w:val="303336"/>
          <w:shd w:val="clear" w:color="auto" w:fill="FFFFFF"/>
        </w:rPr>
        <w:t xml:space="preserve"> All invoices must be paid, in full, within thirty (30) days</w:t>
      </w:r>
      <w:r w:rsidR="00AF62B0">
        <w:rPr>
          <w:rFonts w:cstheme="minorHAnsi"/>
          <w:color w:val="303336"/>
          <w:shd w:val="clear" w:color="auto" w:fill="FFFFFF"/>
        </w:rPr>
        <w:t xml:space="preserve"> upon receipt of the invoice</w:t>
      </w:r>
      <w:r w:rsidRPr="001708B8">
        <w:rPr>
          <w:rFonts w:cstheme="minorHAnsi"/>
          <w:color w:val="303336"/>
          <w:shd w:val="clear" w:color="auto" w:fill="FFFFFF"/>
        </w:rPr>
        <w:t xml:space="preserve">. Any balances not paid within </w:t>
      </w:r>
      <w:r w:rsidR="00AF62B0">
        <w:rPr>
          <w:rFonts w:cstheme="minorHAnsi"/>
          <w:color w:val="303336"/>
          <w:shd w:val="clear" w:color="auto" w:fill="FFFFFF"/>
        </w:rPr>
        <w:t>sixty</w:t>
      </w:r>
      <w:r w:rsidRPr="001708B8">
        <w:rPr>
          <w:rFonts w:cstheme="minorHAnsi"/>
          <w:color w:val="303336"/>
          <w:shd w:val="clear" w:color="auto" w:fill="FFFFFF"/>
        </w:rPr>
        <w:t xml:space="preserve"> </w:t>
      </w:r>
      <w:r w:rsidR="00AF62B0">
        <w:rPr>
          <w:rFonts w:cstheme="minorHAnsi"/>
          <w:color w:val="303336"/>
          <w:shd w:val="clear" w:color="auto" w:fill="FFFFFF"/>
        </w:rPr>
        <w:t>(60</w:t>
      </w:r>
      <w:r w:rsidRPr="001708B8">
        <w:rPr>
          <w:rFonts w:cstheme="minorHAnsi"/>
          <w:color w:val="303336"/>
          <w:shd w:val="clear" w:color="auto" w:fill="FFFFFF"/>
        </w:rPr>
        <w:t>) days</w:t>
      </w:r>
      <w:r w:rsidR="00832660">
        <w:rPr>
          <w:rFonts w:cstheme="minorHAnsi"/>
          <w:color w:val="303336"/>
          <w:shd w:val="clear" w:color="auto" w:fill="FFFFFF"/>
        </w:rPr>
        <w:t xml:space="preserve"> of </w:t>
      </w:r>
      <w:r w:rsidR="0031025C">
        <w:rPr>
          <w:rFonts w:cstheme="minorHAnsi"/>
          <w:color w:val="303336"/>
          <w:shd w:val="clear" w:color="auto" w:fill="FFFFFF"/>
        </w:rPr>
        <w:t xml:space="preserve">the </w:t>
      </w:r>
      <w:r w:rsidR="00832660">
        <w:rPr>
          <w:rFonts w:cstheme="minorHAnsi"/>
          <w:color w:val="303336"/>
          <w:shd w:val="clear" w:color="auto" w:fill="FFFFFF"/>
        </w:rPr>
        <w:t xml:space="preserve">effective date </w:t>
      </w:r>
      <w:r w:rsidRPr="001708B8">
        <w:rPr>
          <w:rFonts w:cstheme="minorHAnsi"/>
          <w:color w:val="303336"/>
          <w:shd w:val="clear" w:color="auto" w:fill="FFFFFF"/>
        </w:rPr>
        <w:t xml:space="preserve">will be subject to </w:t>
      </w:r>
      <w:r w:rsidR="00275F72">
        <w:rPr>
          <w:rFonts w:cstheme="minorHAnsi"/>
          <w:color w:val="303336"/>
          <w:shd w:val="clear" w:color="auto" w:fill="FFFFFF"/>
        </w:rPr>
        <w:t>one</w:t>
      </w:r>
      <w:r w:rsidRPr="001708B8">
        <w:rPr>
          <w:rFonts w:cstheme="minorHAnsi"/>
          <w:color w:val="303336"/>
          <w:shd w:val="clear" w:color="auto" w:fill="FFFFFF"/>
        </w:rPr>
        <w:t xml:space="preserve"> percent (</w:t>
      </w:r>
      <w:r w:rsidR="00275F72">
        <w:rPr>
          <w:rFonts w:cstheme="minorHAnsi"/>
          <w:color w:val="303336"/>
          <w:shd w:val="clear" w:color="auto" w:fill="FFFFFF"/>
        </w:rPr>
        <w:t>1</w:t>
      </w:r>
      <w:r w:rsidRPr="001708B8">
        <w:rPr>
          <w:rFonts w:cstheme="minorHAnsi"/>
          <w:color w:val="303336"/>
          <w:shd w:val="clear" w:color="auto" w:fill="FFFFFF"/>
        </w:rPr>
        <w:t>%) late payment penalty. </w:t>
      </w:r>
      <w:r w:rsidR="006A5987">
        <w:rPr>
          <w:rFonts w:cstheme="minorHAnsi"/>
          <w:color w:val="303336"/>
          <w:shd w:val="clear" w:color="auto" w:fill="FFFFFF"/>
        </w:rPr>
        <w:t xml:space="preserve"> PCQC reserves the right to charge additional fees for ad hoc queries or other services not </w:t>
      </w:r>
      <w:r w:rsidR="0031025C">
        <w:rPr>
          <w:rFonts w:cstheme="minorHAnsi"/>
          <w:color w:val="303336"/>
          <w:shd w:val="clear" w:color="auto" w:fill="FFFFFF"/>
        </w:rPr>
        <w:t>covered explicitly</w:t>
      </w:r>
      <w:r w:rsidR="006A5987">
        <w:rPr>
          <w:rFonts w:cstheme="minorHAnsi"/>
          <w:color w:val="303336"/>
          <w:shd w:val="clear" w:color="auto" w:fill="FFFFFF"/>
        </w:rPr>
        <w:t xml:space="preserve"> by the Participation Agreement or this Exhibit A.</w:t>
      </w:r>
    </w:p>
    <w:p w14:paraId="3FF4686F" w14:textId="2E166D89" w:rsidR="001708B8" w:rsidRDefault="001708B8" w:rsidP="001708B8">
      <w:pPr>
        <w:rPr>
          <w:rFonts w:cstheme="minorHAnsi"/>
        </w:rPr>
      </w:pPr>
    </w:p>
    <w:p w14:paraId="210B6257" w14:textId="77777777" w:rsidR="00616691" w:rsidRDefault="00616691" w:rsidP="001708B8">
      <w:pPr>
        <w:rPr>
          <w:rFonts w:cstheme="minorHAnsi"/>
          <w:b/>
          <w:bCs/>
        </w:rPr>
      </w:pPr>
    </w:p>
    <w:p w14:paraId="64A00B61" w14:textId="08FB056A" w:rsidR="00483140" w:rsidRPr="00483140" w:rsidRDefault="00483140" w:rsidP="001708B8">
      <w:pPr>
        <w:rPr>
          <w:rFonts w:cstheme="minorHAnsi"/>
          <w:b/>
          <w:bCs/>
        </w:rPr>
      </w:pPr>
      <w:r w:rsidRPr="00483140">
        <w:rPr>
          <w:rFonts w:cstheme="minorHAnsi"/>
          <w:b/>
          <w:bCs/>
        </w:rPr>
        <w:t>Services Provided</w:t>
      </w:r>
    </w:p>
    <w:p w14:paraId="126B5C6D" w14:textId="40D1BE17" w:rsidR="00616691" w:rsidRDefault="0031025C" w:rsidP="00616691">
      <w:pPr>
        <w:rPr>
          <w:rFonts w:cstheme="minorHAnsi"/>
        </w:rPr>
      </w:pPr>
      <w:r>
        <w:rPr>
          <w:rFonts w:cstheme="minorHAnsi"/>
        </w:rPr>
        <w:t xml:space="preserve">The Participant </w:t>
      </w:r>
      <w:r w:rsidR="001708B8">
        <w:rPr>
          <w:rFonts w:cstheme="minorHAnsi"/>
        </w:rPr>
        <w:t>receives</w:t>
      </w:r>
      <w:r w:rsidR="00616691">
        <w:rPr>
          <w:rFonts w:cstheme="minorHAnsi"/>
        </w:rPr>
        <w:t xml:space="preserve"> membership in the PCQC</w:t>
      </w:r>
      <w:r>
        <w:rPr>
          <w:rFonts w:cstheme="minorHAnsi"/>
        </w:rPr>
        <w:t>,</w:t>
      </w:r>
      <w:r w:rsidR="00616691">
        <w:rPr>
          <w:rFonts w:cstheme="minorHAnsi"/>
        </w:rPr>
        <w:t xml:space="preserve"> which includes the f</w:t>
      </w:r>
      <w:r w:rsidR="001708B8">
        <w:rPr>
          <w:rFonts w:cstheme="minorHAnsi"/>
        </w:rPr>
        <w:t>ollowing services</w:t>
      </w:r>
      <w:r w:rsidR="00616691">
        <w:rPr>
          <w:rFonts w:cstheme="minorHAnsi"/>
        </w:rPr>
        <w:t xml:space="preserve">, but not limited </w:t>
      </w:r>
      <w:proofErr w:type="gramStart"/>
      <w:r w:rsidR="00616691">
        <w:rPr>
          <w:rFonts w:cstheme="minorHAnsi"/>
        </w:rPr>
        <w:t xml:space="preserve">to, </w:t>
      </w:r>
      <w:r w:rsidR="00832660">
        <w:rPr>
          <w:rFonts w:cstheme="minorHAnsi"/>
        </w:rPr>
        <w:t xml:space="preserve"> included</w:t>
      </w:r>
      <w:proofErr w:type="gramEnd"/>
      <w:r w:rsidR="00832660">
        <w:rPr>
          <w:rFonts w:cstheme="minorHAnsi"/>
        </w:rPr>
        <w:t xml:space="preserve"> in their participation fees:</w:t>
      </w:r>
    </w:p>
    <w:p w14:paraId="6CA7D5AF" w14:textId="77D80DE5" w:rsidR="001708B8" w:rsidRPr="00616691" w:rsidRDefault="001708B8" w:rsidP="00616691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616691">
        <w:rPr>
          <w:rFonts w:cstheme="minorHAnsi"/>
          <w:b/>
          <w:bCs/>
        </w:rPr>
        <w:t>Reports</w:t>
      </w:r>
    </w:p>
    <w:p w14:paraId="469B2A88" w14:textId="497649A7" w:rsidR="001708B8" w:rsidRPr="00616691" w:rsidRDefault="001708B8" w:rsidP="00616691">
      <w:pPr>
        <w:pStyle w:val="ListParagraph"/>
        <w:numPr>
          <w:ilvl w:val="1"/>
          <w:numId w:val="4"/>
        </w:numPr>
        <w:rPr>
          <w:rFonts w:cstheme="minorHAnsi"/>
        </w:rPr>
      </w:pPr>
      <w:r w:rsidRPr="00616691">
        <w:rPr>
          <w:rFonts w:cstheme="minorHAnsi"/>
        </w:rPr>
        <w:t xml:space="preserve">Web-based access to reports and analytic tools. Participants can access reports online with the most up-to-date information. </w:t>
      </w:r>
      <w:r w:rsidR="0031025C">
        <w:rPr>
          <w:rFonts w:cstheme="minorHAnsi"/>
        </w:rPr>
        <w:t>An i</w:t>
      </w:r>
      <w:r w:rsidR="0031025C" w:rsidRPr="00616691">
        <w:rPr>
          <w:rFonts w:cstheme="minorHAnsi"/>
        </w:rPr>
        <w:t xml:space="preserve">nteractive </w:t>
      </w:r>
      <w:r w:rsidRPr="00616691">
        <w:rPr>
          <w:rFonts w:cstheme="minorHAnsi"/>
        </w:rPr>
        <w:t xml:space="preserve">analysis is supported by numerous filters and selection menus on each reporting page. </w:t>
      </w:r>
    </w:p>
    <w:p w14:paraId="44D5771C" w14:textId="0E554535" w:rsidR="001708B8" w:rsidRDefault="001708B8" w:rsidP="00616691">
      <w:pPr>
        <w:pStyle w:val="ListParagraph"/>
        <w:numPr>
          <w:ilvl w:val="0"/>
          <w:numId w:val="4"/>
        </w:numPr>
      </w:pPr>
      <w:r w:rsidRPr="00616691">
        <w:rPr>
          <w:b/>
          <w:bCs/>
        </w:rPr>
        <w:t>Feedback</w:t>
      </w:r>
    </w:p>
    <w:p w14:paraId="4A344B82" w14:textId="143B5FC3" w:rsidR="001708B8" w:rsidRDefault="001708B8" w:rsidP="00616691">
      <w:pPr>
        <w:pStyle w:val="ListParagraph"/>
        <w:numPr>
          <w:ilvl w:val="1"/>
          <w:numId w:val="4"/>
        </w:numPr>
      </w:pPr>
      <w:r>
        <w:t>Periodic benchmarking reports facilitate comparisons of performance to similar programs regionally and nationally.</w:t>
      </w:r>
    </w:p>
    <w:p w14:paraId="309FC738" w14:textId="7CAA8E20" w:rsidR="001708B8" w:rsidRDefault="001708B8" w:rsidP="00616691">
      <w:pPr>
        <w:pStyle w:val="ListParagraph"/>
        <w:numPr>
          <w:ilvl w:val="0"/>
          <w:numId w:val="4"/>
        </w:numPr>
      </w:pPr>
      <w:r w:rsidRPr="00616691">
        <w:rPr>
          <w:b/>
          <w:bCs/>
        </w:rPr>
        <w:t>Meaningful Comparison</w:t>
      </w:r>
      <w:r>
        <w:t xml:space="preserve">  </w:t>
      </w:r>
    </w:p>
    <w:p w14:paraId="18D3DF94" w14:textId="1B202DB6" w:rsidR="001708B8" w:rsidRDefault="009C1BFE" w:rsidP="00616691">
      <w:pPr>
        <w:pStyle w:val="ListParagraph"/>
        <w:numPr>
          <w:ilvl w:val="1"/>
          <w:numId w:val="4"/>
        </w:numPr>
      </w:pPr>
      <w:r>
        <w:t>T</w:t>
      </w:r>
      <w:r w:rsidR="001708B8">
        <w:t>he ability for comparison between similar facilities, programs, and systems – all over the county.</w:t>
      </w:r>
    </w:p>
    <w:p w14:paraId="5B4AB957" w14:textId="77777777" w:rsidR="001708B8" w:rsidRPr="00616691" w:rsidRDefault="001708B8" w:rsidP="00616691">
      <w:pPr>
        <w:pStyle w:val="ListParagraph"/>
        <w:numPr>
          <w:ilvl w:val="0"/>
          <w:numId w:val="4"/>
        </w:numPr>
        <w:rPr>
          <w:b/>
          <w:bCs/>
        </w:rPr>
      </w:pPr>
      <w:r w:rsidRPr="00616691">
        <w:rPr>
          <w:b/>
          <w:bCs/>
        </w:rPr>
        <w:t>Quality Collaboratives</w:t>
      </w:r>
    </w:p>
    <w:p w14:paraId="72246DAA" w14:textId="59F46894" w:rsidR="001708B8" w:rsidRPr="00B63E4A" w:rsidRDefault="001708B8" w:rsidP="00616691">
      <w:pPr>
        <w:pStyle w:val="ListParagraph"/>
        <w:numPr>
          <w:ilvl w:val="1"/>
          <w:numId w:val="4"/>
        </w:numPr>
      </w:pPr>
      <w:r w:rsidRPr="001708B8">
        <w:t>Limited, complimentary access to frequent</w:t>
      </w:r>
      <w:r>
        <w:t xml:space="preserve"> </w:t>
      </w:r>
      <w:proofErr w:type="gramStart"/>
      <w:r>
        <w:t>webinars,  PCQC</w:t>
      </w:r>
      <w:proofErr w:type="gramEnd"/>
      <w:r>
        <w:t xml:space="preserve"> Annual Session, and other meetings </w:t>
      </w:r>
      <w:r w:rsidR="0031025C">
        <w:t xml:space="preserve">that </w:t>
      </w:r>
      <w:r>
        <w:t>facilitate learning from other sites as participants share success stories and opportunities.</w:t>
      </w:r>
    </w:p>
    <w:p w14:paraId="02B711BF" w14:textId="33F80CFD" w:rsidR="001708B8" w:rsidRPr="001708B8" w:rsidRDefault="001708B8" w:rsidP="001708B8">
      <w:pPr>
        <w:rPr>
          <w:rFonts w:cstheme="minorHAnsi"/>
        </w:rPr>
      </w:pPr>
    </w:p>
    <w:p w14:paraId="0DE0C928" w14:textId="77777777" w:rsidR="00A9249A" w:rsidRDefault="00A9249A" w:rsidP="00A924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EBCB56" w14:textId="600B8767" w:rsidR="00A9249A" w:rsidRDefault="00A9249A" w:rsidP="00A9249A"/>
    <w:sectPr w:rsidR="00A9249A" w:rsidSect="00293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360" w:bottom="1440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03A9" w14:textId="77777777" w:rsidR="004E57E6" w:rsidRDefault="004E57E6" w:rsidP="0085297A">
      <w:pPr>
        <w:spacing w:after="0" w:line="240" w:lineRule="auto"/>
      </w:pPr>
      <w:r>
        <w:separator/>
      </w:r>
    </w:p>
  </w:endnote>
  <w:endnote w:type="continuationSeparator" w:id="0">
    <w:p w14:paraId="2F68BD94" w14:textId="77777777" w:rsidR="004E57E6" w:rsidRDefault="004E57E6" w:rsidP="0085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31BD" w14:textId="77777777" w:rsidR="0085297A" w:rsidRDefault="00852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32C9" w14:textId="2AC8EC8F" w:rsidR="0085297A" w:rsidRPr="0085297A" w:rsidRDefault="006A5987">
    <w:pPr>
      <w:pStyle w:val="Footer"/>
    </w:pPr>
    <w:r w:rsidRPr="006A5987">
      <w:rPr>
        <w:noProof/>
        <w:sz w:val="16"/>
      </w:rPr>
      <w:t>{D0875354.DOCX / 2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6722" w14:textId="77777777" w:rsidR="0085297A" w:rsidRDefault="00852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E91E2" w14:textId="77777777" w:rsidR="004E57E6" w:rsidRDefault="004E57E6" w:rsidP="0085297A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780FFEA" w14:textId="77777777" w:rsidR="004E57E6" w:rsidRDefault="004E57E6" w:rsidP="0085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142A" w14:textId="77777777" w:rsidR="0085297A" w:rsidRDefault="00852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E269" w14:textId="77777777" w:rsidR="0085297A" w:rsidRDefault="00852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3C8A" w14:textId="77777777" w:rsidR="0085297A" w:rsidRDefault="00852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7105"/>
    <w:multiLevelType w:val="hybridMultilevel"/>
    <w:tmpl w:val="3F9CC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511587"/>
    <w:multiLevelType w:val="hybridMultilevel"/>
    <w:tmpl w:val="2744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A4A40"/>
    <w:multiLevelType w:val="hybridMultilevel"/>
    <w:tmpl w:val="86841688"/>
    <w:lvl w:ilvl="0" w:tplc="84E84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73FC6"/>
    <w:multiLevelType w:val="hybridMultilevel"/>
    <w:tmpl w:val="9226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D6EA9"/>
    <w:multiLevelType w:val="hybridMultilevel"/>
    <w:tmpl w:val="34D0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530AE"/>
    <w:multiLevelType w:val="hybridMultilevel"/>
    <w:tmpl w:val="6B30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C3F66"/>
    <w:multiLevelType w:val="hybridMultilevel"/>
    <w:tmpl w:val="CBCC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D0E73"/>
    <w:multiLevelType w:val="hybridMultilevel"/>
    <w:tmpl w:val="14660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1NbM0MTI0MjOzMDFR0lEKTi0uzszPAymwqAUAMohxYywAAAA="/>
  </w:docVars>
  <w:rsids>
    <w:rsidRoot w:val="00A9249A"/>
    <w:rsid w:val="0017057C"/>
    <w:rsid w:val="001708B8"/>
    <w:rsid w:val="001A2FC5"/>
    <w:rsid w:val="001C5032"/>
    <w:rsid w:val="00247981"/>
    <w:rsid w:val="00265391"/>
    <w:rsid w:val="00275F72"/>
    <w:rsid w:val="00293E99"/>
    <w:rsid w:val="0031025C"/>
    <w:rsid w:val="003A5947"/>
    <w:rsid w:val="00483140"/>
    <w:rsid w:val="004E57E6"/>
    <w:rsid w:val="00616691"/>
    <w:rsid w:val="006A5987"/>
    <w:rsid w:val="007120EB"/>
    <w:rsid w:val="007A0064"/>
    <w:rsid w:val="007F6528"/>
    <w:rsid w:val="00832660"/>
    <w:rsid w:val="0085297A"/>
    <w:rsid w:val="008A3E0A"/>
    <w:rsid w:val="008C6B62"/>
    <w:rsid w:val="009C1BFE"/>
    <w:rsid w:val="009D01DA"/>
    <w:rsid w:val="00A363A3"/>
    <w:rsid w:val="00A9249A"/>
    <w:rsid w:val="00AF62B0"/>
    <w:rsid w:val="00DF3E75"/>
    <w:rsid w:val="00E73082"/>
    <w:rsid w:val="00E75317"/>
    <w:rsid w:val="00ED3C75"/>
    <w:rsid w:val="00F6424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2F5B"/>
  <w15:chartTrackingRefBased/>
  <w15:docId w15:val="{AB013750-B210-4F56-9EFA-A2D43D75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08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7A"/>
  </w:style>
  <w:style w:type="paragraph" w:styleId="Footer">
    <w:name w:val="footer"/>
    <w:basedOn w:val="Normal"/>
    <w:link w:val="FooterChar"/>
    <w:uiPriority w:val="99"/>
    <w:unhideWhenUsed/>
    <w:rsid w:val="0085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7A"/>
  </w:style>
  <w:style w:type="character" w:styleId="CommentReference">
    <w:name w:val="annotation reference"/>
    <w:basedOn w:val="DefaultParagraphFont"/>
    <w:uiPriority w:val="99"/>
    <w:semiHidden/>
    <w:unhideWhenUsed/>
    <w:rsid w:val="009C1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B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1884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AAHPM PCQC Participation Agreement Ex. A (Fees); with rmp edits (D0875354-2).DOCX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AAHPM PCQC Participation Agreement Ex. A (Fees); with rmp edits (D0875354-2).DOCX</dc:title>
  <dc:subject>D0875354.DOCX / 2 /font=8</dc:subject>
  <dc:creator>Lance Mueller</dc:creator>
  <cp:keywords/>
  <dc:description/>
  <cp:lastModifiedBy>Lance Mueller</cp:lastModifiedBy>
  <cp:revision>16</cp:revision>
  <dcterms:created xsi:type="dcterms:W3CDTF">2020-05-29T15:03:00Z</dcterms:created>
  <dcterms:modified xsi:type="dcterms:W3CDTF">2020-08-20T17:39:00Z</dcterms:modified>
</cp:coreProperties>
</file>